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244B64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244B64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</w:t>
      </w:r>
      <w:r w:rsidR="00244B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44B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от</w:t>
      </w:r>
      <w:r w:rsidR="00244B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="00244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</w:t>
      </w:r>
      <w:r w:rsidR="0024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F83267" w:rsidP="00D54E9C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r w:rsidR="00244B64">
        <w:rPr>
          <w:rFonts w:ascii="Times New Roman" w:hAnsi="Times New Roman"/>
          <w:sz w:val="28"/>
          <w:szCs w:val="28"/>
        </w:rPr>
        <w:t xml:space="preserve">       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Pr="00CB32F7" w:rsidRDefault="00D54E9C" w:rsidP="0066266B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E4C" w:rsidRDefault="00D46E4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244B64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15.01.2021 </w:t>
      </w:r>
      <w:r w:rsidR="003B74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244B64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244B64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3B7418">
        <w:rPr>
          <w:rFonts w:ascii="Times New Roman" w:hAnsi="Times New Roman"/>
          <w:sz w:val="28"/>
          <w:szCs w:val="28"/>
        </w:rPr>
        <w:t xml:space="preserve"> </w:t>
      </w:r>
      <w:r w:rsidR="00244B64">
        <w:rPr>
          <w:rFonts w:ascii="Times New Roman" w:hAnsi="Times New Roman"/>
          <w:sz w:val="28"/>
          <w:szCs w:val="28"/>
        </w:rPr>
        <w:t xml:space="preserve">15.01.2021 </w:t>
      </w:r>
      <w:r w:rsidR="003B7418">
        <w:rPr>
          <w:rFonts w:ascii="Times New Roman" w:hAnsi="Times New Roman"/>
          <w:sz w:val="28"/>
          <w:szCs w:val="28"/>
        </w:rPr>
        <w:t>№</w:t>
      </w:r>
      <w:r w:rsidR="00244B64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="00244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в сфере культуры  Гришковского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4950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21192,5 </w:t>
            </w:r>
            <w:bookmarkStart w:id="0" w:name="_GoBack"/>
            <w:bookmarkEnd w:id="0"/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9508F">
              <w:rPr>
                <w:rFonts w:ascii="Times New Roman" w:hAnsi="Times New Roman" w:cs="Times New Roman"/>
                <w:sz w:val="24"/>
                <w:szCs w:val="24"/>
              </w:rPr>
              <w:t>2449,7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Pr="00E75F61">
        <w:rPr>
          <w:rFonts w:ascii="Times New Roman" w:hAnsi="Times New Roman"/>
          <w:b/>
          <w:sz w:val="24"/>
          <w:szCs w:val="24"/>
        </w:rPr>
        <w:t>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49508F">
        <w:rPr>
          <w:rFonts w:ascii="Times New Roman" w:hAnsi="Times New Roman" w:cs="Times New Roman"/>
          <w:b/>
          <w:bCs/>
          <w:sz w:val="22"/>
          <w:szCs w:val="22"/>
        </w:rPr>
        <w:t xml:space="preserve">21192,5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49508F">
        <w:rPr>
          <w:rFonts w:ascii="Times New Roman" w:hAnsi="Times New Roman" w:cs="Times New Roman"/>
          <w:sz w:val="24"/>
          <w:szCs w:val="24"/>
        </w:rPr>
        <w:t>2449,7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D46E4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46E4C" w:rsidRDefault="009A73E8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Исполняющий обязанности</w:t>
      </w:r>
      <w:r w:rsidR="00FA4A26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>
        <w:rPr>
          <w:rFonts w:ascii="Times New Roman" w:hAnsi="Times New Roman"/>
          <w:spacing w:val="-8"/>
          <w:sz w:val="24"/>
          <w:szCs w:val="24"/>
        </w:rPr>
        <w:t>а</w:t>
      </w: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финансового </w:t>
      </w:r>
      <w:r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 xml:space="preserve">                         Ю.С. Слипченко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244B64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6E4C" w:rsidRDefault="009A73E8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D46E4C">
        <w:rPr>
          <w:rFonts w:ascii="Times New Roman" w:hAnsi="Times New Roman" w:cs="Times New Roman"/>
          <w:sz w:val="24"/>
          <w:szCs w:val="24"/>
        </w:rPr>
        <w:t xml:space="preserve"> 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A649A" w:rsidRPr="00E75F61" w:rsidRDefault="00AA649A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</w:t>
      </w:r>
      <w:r w:rsidR="00244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 w:rsidR="00244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244B64">
        <w:rPr>
          <w:rFonts w:ascii="Times New Roman" w:hAnsi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49508F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15318,9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49508F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2073,7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49508F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15318,9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49508F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2073,7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</w:t>
            </w:r>
            <w:r w:rsidR="0024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, МБУ</w:t>
            </w:r>
            <w:r w:rsidR="00AA649A"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 w:rsidR="0024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F83267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505"/>
        <w:gridCol w:w="1134"/>
        <w:gridCol w:w="1134"/>
        <w:gridCol w:w="1134"/>
        <w:gridCol w:w="992"/>
        <w:gridCol w:w="1134"/>
        <w:gridCol w:w="1002"/>
        <w:gridCol w:w="992"/>
        <w:gridCol w:w="992"/>
        <w:gridCol w:w="1559"/>
        <w:gridCol w:w="1837"/>
      </w:tblGrid>
      <w:tr w:rsidR="00F45F25" w:rsidTr="00F83267">
        <w:trPr>
          <w:trHeight w:val="284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05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3514C6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(ремонту, благоустрой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16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84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5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134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Default="00F45F25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134" w:type="dxa"/>
          </w:tcPr>
          <w:p w:rsidR="009A73E8" w:rsidRPr="00F45F25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701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Default="009A73E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130"/>
        </w:trPr>
        <w:tc>
          <w:tcPr>
            <w:tcW w:w="4112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638" w:rsidRPr="00394A02" w:rsidRDefault="00D77DE7" w:rsidP="00D77D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21192,5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1134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1002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2449,7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69"/>
        </w:trPr>
        <w:tc>
          <w:tcPr>
            <w:tcW w:w="4112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19207,7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1134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1002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2449,7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49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57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244B64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46E4C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24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406027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2B5E78" w:rsidRPr="002B5E78" w:rsidRDefault="00AA649A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 w:rsidR="00BC525E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BF42CE" w:rsidRDefault="00BF42CE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BF42CE" w:rsidRDefault="00AA649A" w:rsidP="006F6AB4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49508F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2073,7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3514C6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1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42CE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24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3514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514C6">
        <w:rPr>
          <w:rFonts w:ascii="Times New Roman" w:hAnsi="Times New Roman" w:cs="Times New Roman"/>
          <w:sz w:val="24"/>
          <w:szCs w:val="24"/>
        </w:rPr>
        <w:t>Ю.С. Сли</w:t>
      </w:r>
      <w:r w:rsidR="00BC525E">
        <w:rPr>
          <w:rFonts w:ascii="Times New Roman" w:hAnsi="Times New Roman" w:cs="Times New Roman"/>
          <w:sz w:val="24"/>
          <w:szCs w:val="24"/>
        </w:rPr>
        <w:t>пченко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F3" w:rsidRDefault="00994BF3" w:rsidP="00101A48">
      <w:r>
        <w:separator/>
      </w:r>
    </w:p>
  </w:endnote>
  <w:endnote w:type="continuationSeparator" w:id="1">
    <w:p w:rsidR="00994BF3" w:rsidRDefault="00994BF3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F3" w:rsidRDefault="00994BF3" w:rsidP="00101A48">
      <w:r>
        <w:separator/>
      </w:r>
    </w:p>
  </w:footnote>
  <w:footnote w:type="continuationSeparator" w:id="1">
    <w:p w:rsidR="00994BF3" w:rsidRDefault="00994BF3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4C" w:rsidRDefault="00C27175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D46E4C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D46E4C" w:rsidRDefault="00D46E4C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5103C"/>
    <w:rsid w:val="00252D04"/>
    <w:rsid w:val="002530C1"/>
    <w:rsid w:val="0025557B"/>
    <w:rsid w:val="00255777"/>
    <w:rsid w:val="00256635"/>
    <w:rsid w:val="00265189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027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836"/>
    <w:rsid w:val="00892B7E"/>
    <w:rsid w:val="0089554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64EFB"/>
    <w:rsid w:val="0097012C"/>
    <w:rsid w:val="00972C22"/>
    <w:rsid w:val="00973E55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36391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5</cp:revision>
  <cp:lastPrinted>2021-01-18T07:15:00Z</cp:lastPrinted>
  <dcterms:created xsi:type="dcterms:W3CDTF">2021-01-16T16:06:00Z</dcterms:created>
  <dcterms:modified xsi:type="dcterms:W3CDTF">2021-01-18T07:17:00Z</dcterms:modified>
</cp:coreProperties>
</file>